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Студенты с высоким уровнем социальной тревожности будут проявлять более низкие показатели коммуникации на занятии, чем студенты с низким уровнем социальной тревожности»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Первоклассники с низкими учебными достижениями более зависимы от психологической поддержки взрослых, чем учащиеся с высокими успехами»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Учителя начальной школы, преподающие по экспериментальной программе, имеют более высокую самооценку по сравнению с теми, кто преподает по традиционной программе»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Мы предполагаем, что уровень памяти старших дошкольников существенно повысится, если в содержании образовательной работы включить специальные компьютерные игры дидактического содержания»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Если насыщать уроки музыки различными информационными средствами, то качество обучения улучшится»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Для развития рыболовного туризма в РБ необходимо создание туристического маршрута»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Мы предполагаем, что занятия рукопашным боем способствуют развитию координации движений у детей младшего школьного возраста»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Мы предполагаем, что включение в школьный режим подготовки учащихся младших классов дополнительных физических упражнения приведут к снижению уровня заболеваемости»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