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F5" w:rsidRPr="00E65FF5" w:rsidRDefault="00E65FF5" w:rsidP="00E65FF5">
      <w:pPr>
        <w:shd w:val="clear" w:color="auto" w:fill="F2F2F2"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65F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Реферативный обзор по теме </w:t>
      </w:r>
      <w:r w:rsidR="001B25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="001B25A4" w:rsidRPr="00E65F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Подростковый </w:t>
      </w:r>
      <w:r w:rsidRPr="00E65F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суицид</w:t>
      </w:r>
      <w:r w:rsidR="001B25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E65FF5" w:rsidRPr="00E65FF5" w:rsidRDefault="00E65FF5" w:rsidP="00E65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FF5" w:rsidRPr="00E65FF5" w:rsidRDefault="00E65FF5" w:rsidP="00E65FF5">
      <w:pPr>
        <w:shd w:val="clear" w:color="auto" w:fill="F2F2F2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Обзор составил: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B25A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Пономарев И.В.</w:t>
      </w:r>
    </w:p>
    <w:p w:rsidR="00E65FF5" w:rsidRPr="00E65FF5" w:rsidRDefault="00E65FF5" w:rsidP="00E65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FF5" w:rsidRPr="00E65FF5" w:rsidRDefault="00E65FF5" w:rsidP="00E65FF5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статье «Факторы, ассоциируемые с суицидальным феноменом у подростков: систематический обзор исследований среди населения» Эммы Эванс и ее коллег по Центру суицидальных исследований Оксфордского университета, опубликованной в «Обозрении по клинической психологии» в 2004 г., дается анализ большого количества исследований за несколько последних десятилетий (E.</w:t>
      </w:r>
      <w:proofErr w:type="gram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Evans</w:t>
      </w:r>
      <w:bookmarkStart w:id="0" w:name="_GoBack"/>
      <w:bookmarkEnd w:id="0"/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K.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Hawton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K.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Rodham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Factors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associated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with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suicidal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phenomena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adolescents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A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systematic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review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of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population-based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studies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//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Clinical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Psychology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Review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24 (2004) 957–979).</w:t>
      </w:r>
      <w:proofErr w:type="gram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Авторы ставят себе задачу систематизировать рассматриваемые исследования по тем возможным причинам (факторам), которые приводят к суициду.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Статья особенно интересна отечественному читателю, поскольку представляет собой образец библиографического исследования в западной науке. Именно на основе таких исследований можно выдвигать научно обоснованные рабочие гипотезы с целью их дальнейшей экспериментальной проверки. Исследования такого типа также позволяют сделать и некоторые практические выводы и рекомендации для профессионалов, так или иначе сталкивающихся в свое работе с суицидальным феноменом у подростков. К сожалению, в отечественное науке таких исследований еще недостаточно, их важность </w:t>
      </w:r>
      <w:proofErr w:type="gram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недооценивается</w:t>
      </w:r>
      <w:proofErr w:type="gram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 них не выделяются соответствующие средства. По этой причине мы также уделим пристальное внимание методологии данной работы.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Первоначальный поиск литературы по интересовавшей авторов проблеме был проведен в следующих </w:t>
      </w:r>
      <w:proofErr w:type="gram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базах</w:t>
      </w:r>
      <w:proofErr w:type="gram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данных (в скобках указаны годы, которые были охвачены поиском):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PsychLit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(1971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to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2000),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Medline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(1966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to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2000), EMBASE (1980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to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2000),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Sociological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Abstracts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(CSA) (1963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to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2000), ERIC (1966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to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2000),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the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Australian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Education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Index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(1978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to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2000),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the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British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Education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Index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(1976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to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2000). Необходимость составления подобных баз на русском языке и выделения для этого соответствующих средств едва ли требует дальнейшего обоснования.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При поиске в базах данных были выбраны следующие основные термины: суицид,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парасуицид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передозировка; подросток, юноша/девушка, школьник, ребенок; обзор, опросник, интервью. Использовался ряд английских терминов, которые не имеют эквивалента в русском языке: причинение себе ущерба (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самоущерб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посредством порезов, отравления, травм (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self-harm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self-cut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self-poison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self-injure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В термин «суицидальный феномен», как поясняют сами авторы, они вкладывали следующие значения: «суицидальные попытки», «намеренное причинение себе ущерба», «суицидальные планы, угрозы, мысли» (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Evans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et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al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., 2004, Р. 958-959).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Дальнейший отбор литературы происходил по следующим критериям: данные рассматриваемого исследования собирались в открытых сообществах (а не скажем, в клиниках); более 90 % попавших в выборку должны были быть в возрасте от 12 до 20 лет; попавшие в выборку либо самостоятельно ответили на опросник, либо отвечали на схожие вопросы в интервью; в рассматриваемом исследовании должен был быть выделен превалирующий каузальный фактор суицидального феномена.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Связи между суицидальным феноменом и причинами его порождающими были сгруппированы авторами статьи в четыре рубрики: умственное и физическое здоровье и благосостояние; другие личностные характеристики и качества; семейная среда; образовательные и социальные факторы.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Авторы начинают свой обзор с рассмотрения возможных причин суицидального феномена, связанных с </w:t>
      </w:r>
      <w:r w:rsidRPr="001B25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умственным здоровьем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Связь между суицидальным феноменом и умственными расстройствами изучалась в 5 исследованиях (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многовариативный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анализ, проведенный только в 2-х исследованиях из 5-ти, подтвердил значимость этой связи); между тревожностью и суицидальным феноменом – в 9 исследованиях (проведенный только в 2-х исследованиях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многовариативный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анализ не подтвердил значимость этой связи); между антисоциальным поведением (враждебность, травля и другие отклонения) и суицидальным феноменом – в 17 исследованиях (проведенный только в 4-х исследованиях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многовариативный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анализ подтвердил значимость этой связи в 3-х из них, а в 2-х также показал, что эта связь значима для девушек, но не для юношей); между расстройствами пищевого поведения и  суицидальным феноменом – в 8 исследованиях (проведенный только в 1-м исследовании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многовариативный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анализ не подтвердил значимость этой связи); между нарушениями сна и его последствиями (усталость, кошмары и пр.) и суицидальным феноменом – в 4 исследованиях (проведенный только в 1-м исследовании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многовариативный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анализ подтвердил значимость этой связи).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Целый ряд исследований (около 26) посвящен выяснению связи между суицидальным феноменом и депрессией.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Многовариативный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анализ, проведенный в 12 исследованиях, подтвердил значимость этой связи в 11 исследованиях, «даже когда учитывалось значительное число и разнообразие других факторов» (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Evans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et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al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., 2004, Р. 960). При этом Э. Эванс и ее коллеги приводят данные еще по 7 исследованиям, где изучалась связь между суицидальным феноменом и потерей надежды. В двух исследованиях использовался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многовариативный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анализ, который в одном случае подтвердил наличие значимой связи, а в другом – нет. Но самое интересное состоит в том, что в этих двух исследованиях не было выделено такого фактора, как депрессия.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Связь между суицидальным феноменом и самооценкой изучалась в 6 исследованиях, но результаты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многовариативного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анализа, проведенного только в 2-х исследованиях, «были противоречивы, что может объясняться различными способами измерения самооценки» (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Evans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et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al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., 2004, Р. 963).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Большая группа исследований посвящена изучению связи между 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суицидальным феноменом и употреблением табака, алкоголя и наркотиков. Связь с употреблением табака изучалась в 9 исследованиях (проведенный только в 3-х исследованиях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многовариативный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анализ подтвердил значимость этой связи в двух и не подтвердил в одном); с употреблением алкоголя – в 25 исследованиях (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многовариативный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анализ, проведенный в 9-ти исследованиях из 25, подтвердил значимость этой связи </w:t>
      </w:r>
      <w:proofErr w:type="gram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5; однако в трех исследованиях, в которых также были введены такие факторы, как депрессия, потеря надежды, негативизм, насилие, сексуальная активность, связь с употреблением алкоголя оказалась непрямой); с употреблением наркотиков (особенно тяжелых) – в 24 исследованиях и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многовариативный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анализ «в целом подтвердил прямую связь с суицидальным феноменом» (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Evans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et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al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., 2004, Р. 962).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Наконец, заканчивая обзор данной группы исследований, Э. Эванс и ее коллеги останавливаются на связи суицидального феномена с </w:t>
      </w:r>
      <w:r w:rsidRPr="001B25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физическим здоровьем и благосостоянием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Связь между суицидальным феноменом и физическим здоровьем изучалась в 14 исследованиях (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многовариативный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анализ, проведенный только в половине данных исследований, подтвердил значимость этой связи в 4-х случаях и не подтвердил – в 3-х); между физическими недостатками и суицидальным феноменом – в 2 исследованиях, но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многовариативный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анализ «дал противоречивые результаты» (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Evans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et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al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., 2004, Р. 963).</w:t>
      </w:r>
      <w:proofErr w:type="gram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Уже по первой группе исследований, выделенной авторами статьи и посвященной изучению связи между суицидальным феноменом и </w:t>
      </w:r>
      <w:r w:rsidRPr="001B25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умственным/физическим здоровьем и благосостоянием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видно, что в эту группу попали совершенно различные предполагаемые/искомые причины суицидального феномена. Это становится еще очевиднее при анализе последующих групп, составленных Э. Эванс и коллегами. Однако мы не видим смысла, далее отягощать читателя подробным изложением данных групп, по причинам, которые укажем чуть ниже. Сейчас же кратко перечислим явления, связь суицидального феномена с которыми рассматривается в трех оставшихся рубриках статьи: другие личностные характеристики и качества; семейная среда; образовательные и социальные факторы.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группе другие л</w:t>
      </w:r>
      <w:r w:rsidRPr="001B25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ичностные характеристики и качества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авторы статьи анализируют связь суицидального феномена с такими явлениями, как сексуальная ориентация, сексуальное активность, физическое и сексуальное насилие, суицидальное поведение других (членов семьи, друзей; транслируемое по СМИ), религиозные убеждения. </w:t>
      </w:r>
      <w:proofErr w:type="gram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группе </w:t>
      </w:r>
      <w:r w:rsidRPr="001B25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семейная </w:t>
      </w:r>
      <w:proofErr w:type="spellStart"/>
      <w:r w:rsidRPr="001B25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среда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анализируется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связь суицидального феномена с социально-экономическими характеристиками семьи, структурой семьи (проживание с одним/двумя родителями или без родителей, потеря родителей, число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сиблингов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их порядок по рождению), отношениями в семье (дружески-понимающие, враждебно-недоброжелательные, наличие эмоционального контакта детей и родителей, недостаток или избыток родительского контроля, проведение свободного времени с родителями), физическим и 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ментальным состоянием членов семьи и пр.</w:t>
      </w:r>
      <w:proofErr w:type="gram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Наконец, в группе </w:t>
      </w:r>
      <w:r w:rsidRPr="001B25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образовательные и социальные факторы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рассматривается связь суицидального феномена с успеваемостью и посещаемостью в школе, отношением (</w:t>
      </w:r>
      <w:proofErr w:type="gram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позитивное</w:t>
      </w:r>
      <w:proofErr w:type="gram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/негативное) к учебному процессу, нарушением школьной дисциплины, отношениями со сверстниками, социальной поддержкой и занятиями спортом.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Из данного обзора видно, что такие достаточно объективные (в плане их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внешнепсихической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онтологии) факторы, как суицидальное поведение других (членов семьи, друзей; суицидальное поведение, транслируемое по СМИ), социально-экономические характеристики и структура семьи, </w:t>
      </w:r>
      <w:r w:rsidRPr="001B25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попадают в одну рубрику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 такими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внутрипсихическими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явлениями и характеристиками, как депрессия, самооценка, потеря надежды, религиозные убеждения и пр. Методологически это совершенно недопустимо, необходимо разделять социальную ситуацию развития и развитие личности и сознания (Выготский, 2001; анализ данных положений Л.С. Выготского в контексте культурно-исторической теории см.: Пономарев, 2009, С. 156–169).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Э. Эванс и ее коллеги приходят к заключению, что </w:t>
      </w:r>
      <w:r w:rsidRPr="001B25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наиболее «серьезные свидетельства связи»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суицидальный феномен имеет с факторами, которые можно поделить на три группы: уязвимость к суициду, стрессовые факторы, совмещение двух первых групп. </w:t>
      </w:r>
      <w:proofErr w:type="gram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первую группу попадает «суицидальное поведение членов семьи», во вторую – «депрессия, употребление алкоголя и сильных наркотиков, умственные расстройства, суицидальное поведение друзей, проблемные семьи (особенно для подростков-девушек), плохие отношения со сверстниками», в третью – «проживание отдельно от родителей, антисоциальное поведение (особенно для подростков-девушек), сексуальное и физическое насилие, нечуткие родители» (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Evans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et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al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., 2004, Р. 972).</w:t>
      </w:r>
      <w:proofErr w:type="gram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Как видим, здесь опять смешиваются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внешнепсихические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внутрипсихические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факторы, что, по крайней мере, методологически неверно. Поэтому можно предложить другую классификацию, основанную на указанном критерии. Факторы, связанные с развитием личности и сознания: депрессия, умственные расстройства, антисоциальное поведение (особенно для подростков-девушек). Факторы, связанные с социальной ситуацией развития: суицидальное поведение членов семьи и/или друзей, проблемные семьи (особенно для подростков-девушек), плохие отношения со сверстниками, проживание отдельно от родителей, нечуткие родители, сексуальное и физическое насилие. Употребление алкоголя и сильных наркотиков несколько выпадает из данной схемы и может быть отнесено к третьей группе факторов – внешние проявления одного из названных факторов (развитие личности и сознания; социальная ситуация развития) или их комбинации.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Вышеуказанным образом Э. Эванс и ее коллеги группируют </w:t>
      </w:r>
      <w:r w:rsidRPr="001B25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«возможные свидетельства связи»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суицидального феномена со следующими факторами. Факторы уязвимости к суициду: «слабые связи с семьей»; стрессовые факторы: «потеря надежды, пищевые расстройства, курение, употребление 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наркотиков, нарушения сна, суицидальные проявления в СМИ»; совмещение двух первых групп: «низкая самооценка, плохое физическое здоровье, физическая неполноценность, сексуальное поведение» (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Evans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et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al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., 2004, Р. 972). Перегруппировывая эти данные, получим, что к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внутрипсихическому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развитию относятся потеря надежды, низкая самооценка, отчасти – сексуальное поведение; к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внешнепсихическому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слабые связи с семьей, суицидальные проявления в СМИ. Пищевые расстройства, курение и употребление наркотиков, нарушения сна, и отчасти – сексуальное поведение мы бы отнесли к внешнему проявлению указанных факторов или их комбинации; плохое физическое здоровье и физическую неполноценность – к комбинации внешн</w:t>
      </w:r>
      <w:proofErr w:type="gram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е-</w:t>
      </w:r>
      <w:proofErr w:type="gram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внутрипсихических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факторов. Мы предполагаем, что такая перестройка эвристических выводов поможет в будущем по-иному спланировать исследование суицидального феномена и его возможных причин.</w:t>
      </w:r>
    </w:p>
    <w:p w:rsidR="00E65FF5" w:rsidRPr="00E65FF5" w:rsidRDefault="00E65FF5" w:rsidP="00E65FF5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65FF5" w:rsidRPr="00E65FF5" w:rsidRDefault="00E65FF5" w:rsidP="00E65FF5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E65FF5" w:rsidRPr="00E65FF5" w:rsidRDefault="00E65FF5" w:rsidP="00E65FF5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65FF5" w:rsidRPr="00E65FF5" w:rsidRDefault="00E65FF5" w:rsidP="00E65FF5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Авторы статьи утверждают, что «существует значительное </w:t>
      </w:r>
      <w:proofErr w:type="gram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разнообразие</w:t>
      </w:r>
      <w:proofErr w:type="gram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 методах исследования суицидального феномена, так и в связанных с ним факторах (рисках)» (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Evans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et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al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., 2004, Р. 958). Если с существованием «значительного разнообразия» в методах исследования с оговорками можно согласиться (методологически существенных различий по описаниям авторов статьи не видно), то разнообразие каузальных факторов, порождающих суицидальный феномен, может оказаться до некоторой степени чисто терминологическим. Например, терминологическая путаница видна в следующем высказывании: «Низкая самооценка является одновременно и симптомом депрессии (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Beck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1967), и повышает индивидуальную уязвимость к впадению в депрессию (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McGee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&amp;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Williams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2000)», – пишут Э. Эванс и ее коллеги, в свою очередь, ссылаясь на других ученых (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Evans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et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al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., 2004, Р. 969). Симптом, который является причиной? Тогда это не симптом, а именно причина/каузальный фактор, проявления которого имеют определенные признаки. Именно эти признаки принято называть симптомами. У одного и того же синдрома могут оказаться совершенно разные симптомы, а одни и те же симптомы могут быть у разных синдромов.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 всех перечисленных возможных причин суицидального феномена только нарушение пищевого поведения и депрессия определялись с помощью стандартизированной шкалы DSM-III-R. Уныние, безнадежность можно называть депрессией, но суть от этого не меняется – мы не знаем, что это такое, или мы должны указать, какими гормональными изменениями это сопровождается, как перестаивается центральная нервная система. Неудивительно, что, как признают сами авторы, «многие из рассмотренных каузальных связей близки с теми, что ранее были получены на взрослых и госпитальных исследованиях подростков» (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Evans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et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al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., 2004, Р. 968). А где же специфика подросткового суицидального феномена?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Мы полагаем, ответ на последний вопрос едва ли может быть получен, если 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следовать методологии исследований, рассмотренных Э. Эванс и ее коллегами. В этих исследованиях берется некий обобщенный подросток Х и решается некая обобщенная проблема – суицидальные наклонности. На выходе получается множество факторов, означающих в буквальном смысле слова, что суицид может спровоцировать что угодно у кого угодно. Или по-другому, любой неблагоприятный фактор (еще вопрос, что считать неблагоприятным, ведь для кого-то трудности «идут в рост») может спровоцировать любого (именно любого!) подростка на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суицидность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Главное, что выносится за скобки в таких исследованиях, это личность, с присущим ей уникальным сознанием (ср.: Выготский, 1934, С. 190–191). То, что у одного конкретного человека может вызвать мысли о суициде или суицидную попытку, у другого может вызвать совершенно иную реакцию, никак с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суицидностью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связанную.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Нельзя все сводить и к измерениям (ср. выше пример с изучением самооценки). Многое просто нельзя померить тестами. Необходимо сочетать тестовые методики (сами по себе, конечно, необходимые) с длительным клиническим наблюдением. В последние годы сказывается повальное увлечение тестами и математической обработкой материала, связанное с доступность этих методик на компьютерной технике. Отчасти это похоже на ситуацию в отечественной медицине, сложившуюся в середине XX века, когда трудоемкие и тонкие методы диагностики, основанные на длительном и пристальном наблюдении больного одним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врачем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-терапевтом, были почти полностью вытеснены хорошими, но совершенно недостаточными методами механического исследования (анализы, рентген, ЭКГ и пр., см., напр.: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Лурия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2001).</w:t>
      </w:r>
    </w:p>
    <w:p w:rsidR="00E65FF5" w:rsidRPr="00E65FF5" w:rsidRDefault="00E65FF5" w:rsidP="00E65FF5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65FF5" w:rsidRPr="00E65FF5" w:rsidRDefault="00E65FF5" w:rsidP="00E65FF5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E65FF5" w:rsidRPr="00E65FF5" w:rsidRDefault="00E65FF5" w:rsidP="00E65FF5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сделать наши выводы более обоснованными, рассмотрим одно типичное тестовое и клиническое исследование суицидального феномен, желая этим подчеркнуть, что не всякий клинический метод исследования адекватен поставленной проблеме.</w:t>
      </w:r>
      <w:proofErr w:type="gram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статье Дональда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Дугерти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его коллег «Импульсивность и клинические симптомы у подростков с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несуицидным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нанесением себе вреда, совершавших и не совершавших попытку самоубийства» исследуется связь суицидального феномена с импульсивностью 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(«Impulsivity and clinical symptoms among adolescents with non-suicidal self-injury with or without attempted suicide» Donald M.</w:t>
      </w:r>
      <w:proofErr w:type="gram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Dougherty,  Charles W. Mathias, Dawn M. Marsh-Richard, Kristen N.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Prevette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Michael A. Dawes, Erin S.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Hatzis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Guy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Palmes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Sylvain O.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Nouvion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// Psychiatry Research, 2009. 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 169. </w:t>
      </w:r>
      <w:proofErr w:type="gram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 22-27).</w:t>
      </w:r>
      <w:proofErr w:type="gram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Импульсивность не рассматривалась среди искомых каузальных факторов суицидального феномена в предыдущей статье, что только увеличивает эвристический потенциал ее анализа. </w:t>
      </w:r>
      <w:proofErr w:type="gram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Большинство авторов статьи работает в</w:t>
      </w:r>
      <w:proofErr w:type="gram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Нейробихевиориальной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исследовательской лаборатории и клинике Центра медицины Университета Техас.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Д.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Дугерти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его коллеги исходили из гипотезы, что подростки с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несуицидным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нанесением себе вреда (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non-suicidal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self-injury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далее – ННСВ) и совершившие попытку самоубийства будут выказывать большую степень импульсивности, чем подростки с ННСВ, не совершавшие суицидную попытку. Гипотеза была поставлена на основе библиографического исследования литературы по проблеме самоубийств у подростков. Так, обсуждая термин «импульсивность», авторы статьи дают следующую цитату: «предрасположенность к быстрым,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неспланированным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реакциям на внутренние или внешние стимулы, не учитывающая негативные последствия этих реакций по отношению к самому себе или другим (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Moeller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et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al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., 2001, Р. 1784)» (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Dougherty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2009, Р. 23). Собственно феномен импульсивности исследовался с помощью клинических самоотчетов пациентов и двух тестовых методик (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the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Two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Choice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Impulsivity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Paradigm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GoStop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Impulsivity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Paradigm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описанных Д.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Дугерти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ранее (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Dougherty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et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al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., 2003, 2005a). Интересно, что более 80 % выборки составили подростки, у которых в графе этническая принадлежность указано «кавказец».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исследовании также использовались другие тестовые методы и шкалы для диагностики и фиксации </w:t>
      </w:r>
      <w:r w:rsidRPr="001B25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импульсивности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the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Barratt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Impulsiveness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Scale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разработанная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Паттоном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Patton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et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al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., 1995), </w:t>
      </w:r>
      <w:r w:rsidRPr="001B25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агрессии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the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Lifetime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History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of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Aggression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разработанная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Коккаро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Coccaro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et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al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., 1997), </w:t>
      </w:r>
      <w:r w:rsidRPr="001B25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депрессии, потери надежды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B25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 самоотчетов о суицидальных мыслях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the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Beck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Depression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Inventory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-II,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the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Beck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Hopelessness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Scale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the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Beck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Scale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for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Suicidal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Ideation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Selfreported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разработанные</w:t>
      </w:r>
      <w:proofErr w:type="gram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Бек (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Beck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et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al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., 1996;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Beck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and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Steer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1988; 1991).Особо отметим, что Д.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Дугерти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его коллеги дают ссылку на работы, в которых импульсивность увязывалась с биологическими механизмами (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Kety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1990;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Mann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et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al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., 2001). Однако эти данные Д.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Дугерти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его коллег в своей работе в качестве эвристического инструмента не используют. Наконец, авторы статьи упоминают только одно исследование (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Kingsbury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et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al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., 1999), в котором подтвердилась значимость связи между импульсивностью и суицидальным феноменом.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Основной вывод, к которому приходят Д.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Дугерти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его коллеги, состоит в следующем: «Наше исследование показывает, что импульсивность (наряду с депрессией и потерей надежды) возрастает по самоотчетам и лабораторному тестированию поведения у подростков с ННСВ, совершивших попытку самоубийства, в сравнении с подростками с ННСВ, не совершавших такую попытку. Эти данные углубляют наше понимание отношений между импульсивностью, глубиной депрессии и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суицидальностью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подростков с ННСВ. Импульсивность, по-видимому, является ключевым фактором риска у подростков с ННСВ, особенно у подростков с ННСВ, совершивших попытку самоубийства» (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Dougherty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2009, Р. 26).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Импульсивность, безусловно, может быть одним из искомых каузальных факторов суицидального феномена. Особенно, если она измеряется тщательными тестовыми методиками, близкими экспериментальным, в сочетании с клиническим наблюдением, как было сделано в рассматриваемом исследовании.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Однако, во-первых, нельзя ставить в один ряд импульсивность, как могущую иметь </w:t>
      </w:r>
      <w:proofErr w:type="gram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намного большую</w:t>
      </w:r>
      <w:proofErr w:type="gram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физиологическую составляющую, с депрессией и потерей надежды, как более относящиеся к внутренним психологическим процессам. По крайней мере, мы так можем думать, пока не будет доказано обратное, что не исключено: может оказаться, что депрессия тоже имеет существенный физиологический субстрат. Но разве можно говорить о том же в отношении потери надежды? Или мы просто терминологически (гносеологически) различаем депрессию и потерю надежды, в то время как в реальности (онтологически) их различать не следует? На эти вопросы могут дать </w:t>
      </w:r>
      <w:proofErr w:type="gram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</w:t>
      </w:r>
      <w:proofErr w:type="gram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только будущие исследования, где будет стоять во главе угла выяснение вопроса о физиологическом субстрате данных психофизиологических процессов и явлений.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Во-вторых, и это не менее существенно, клиническое наблюдение фактически сводилось в данном исследовании к самоотчетам пациентов. Совершенно необходимо дополнять такие методы исследования непосредственными клиническими беседами, проводимыми в течение длительного времени. Только в таких беседах, </w:t>
      </w:r>
      <w:proofErr w:type="gram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проводимыми</w:t>
      </w:r>
      <w:proofErr w:type="gram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коллективом исследователей, можно будет достаточно сблизиться с подростком (да и то не со всяким), чтобы судить о его сознании и личности. В свою очередь, такое сближение возможно только на основе открытия исследователем собственного сознания в общении с подростком и принятия им личностного участи в судьбе подростка (с вытекающей отсюда ответственностью). Также необходим тщательный сбор данных о социальной ситуации развития подростка посредством непосредственных контактов с родными, друзьями и знакомыми подростка. Готовы ли профессионалы, с медицинской подготовкой, к такому роду исследованию? Думается, что сотрудничество с психологами в проведении такого рода исследований совершенно необходимо.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Таким образом, дело не в том, что нет описательных феноменологических исследований суицидального феномена – их более</w:t>
      </w:r>
      <w:proofErr w:type="gram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достаточно. Дело в том, чтобы тонко и умело сочетать в одном исследовании данные по физиологическим, психологическим, социологическим и другим процессам, полученные самыми разными методиками: клиническими, тестовыми, экспериментальными, дискурсивными, обучающими и т. д. Для методологического решения именно этой проблемы Л.С. Выготским был создан проект науки о детском развитии (педологии) (Выготский, 2001; анализ некоторых положений данного проекта в контексте культурно-исторической теории см.: Пономарев, 2009, С. 156–186).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B25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литературы:</w:t>
      </w:r>
    </w:p>
    <w:p w:rsidR="00E65FF5" w:rsidRPr="00E65FF5" w:rsidRDefault="00E65FF5" w:rsidP="00E65FF5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Beck A.T. Depression: Clinical, experimental and theoretical aspects.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New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York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USA 7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Harper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and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Row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1967.</w:t>
      </w:r>
    </w:p>
    <w:p w:rsidR="00E65FF5" w:rsidRPr="00E65FF5" w:rsidRDefault="00E65FF5" w:rsidP="00E65FF5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Beck, A.T., Steer R. Beck Hopelessness Scale Manual. The Psychological Corporation, San Antonio TX, 1988.</w:t>
      </w:r>
    </w:p>
    <w:p w:rsidR="00E65FF5" w:rsidRPr="00E65FF5" w:rsidRDefault="00E65FF5" w:rsidP="00E65FF5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lastRenderedPageBreak/>
        <w:t xml:space="preserve">Beck, A., Steer R. Manual for the Beck Scale of Suicidal Ideation.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The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Psychological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Corporation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San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Antonio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TX, 1991.</w:t>
      </w:r>
    </w:p>
    <w:p w:rsidR="00E65FF5" w:rsidRPr="00E65FF5" w:rsidRDefault="00E65FF5" w:rsidP="00E65FF5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Beck, A., Steer, R., Brown, G.K. Beck Depression Inventory Manual, 2nd </w:t>
      </w:r>
      <w:proofErr w:type="gram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ed</w:t>
      </w:r>
      <w:proofErr w:type="gram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The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Psychological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Corporation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San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Antonio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TX, 1996.</w:t>
      </w:r>
    </w:p>
    <w:p w:rsidR="00E65FF5" w:rsidRPr="00E65FF5" w:rsidRDefault="00E65FF5" w:rsidP="00E65FF5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Coccaro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E.F., Berman M.E.,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Kavoussi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R.J. Assessment of life history of aggression: development and psychometric characteristics // Psychiatry Research, 1997. 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73. 147–157.</w:t>
      </w:r>
    </w:p>
    <w:p w:rsidR="00E65FF5" w:rsidRPr="00E65FF5" w:rsidRDefault="00E65FF5" w:rsidP="00E65FF5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Dougherty D.M., Bjork J.M., Harper R.A., Marsh D.M., Moeller F.G., Mathias C.W.   Behavioral impulsivity paradigms: a comparison in hospitalized adolescents with disruptive behavior disorders // Journal of Child Psychology and Psychiatry, 2003. 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44. Р. 1145–1157.</w:t>
      </w:r>
    </w:p>
    <w:p w:rsidR="00E65FF5" w:rsidRPr="00E65FF5" w:rsidRDefault="00E65FF5" w:rsidP="00E65FF5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Dougherty D.M., Mathias C.W., Marsh D.M.,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Jagar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A.A. Laboratory behavioral measures of impulsivity // Psychiatric Times, 2005. 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37. Р. 82–90.</w:t>
      </w:r>
    </w:p>
    <w:p w:rsidR="00E65FF5" w:rsidRPr="00E65FF5" w:rsidRDefault="00E65FF5" w:rsidP="00E65FF5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Kety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S.S. Genetic Factors in suicide: family, twin, and adoption studies // Blumenthal S.J.,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Kupfer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D.J. (Eds.) Suicide over the Life Cycle: Risk Factors, Assessment, and Treatment of Suicidal Patients.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American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Psychiatric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Press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Inc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Washington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DC, 1990.  Р. 135–153.</w:t>
      </w:r>
    </w:p>
    <w:p w:rsidR="00E65FF5" w:rsidRPr="00E65FF5" w:rsidRDefault="00E65FF5" w:rsidP="00E65FF5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Kingsbury S.,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Hawton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K., Steinhardt K., James A. Do adolescents who take overdoses have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speci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ﬁ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c psychological characteristics? A comparative study with psychiatric and community controls // Journal of the American Academy of Child and Adolescent Psychiatry, 1999. 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38. Р. 1125–1131.</w:t>
      </w:r>
    </w:p>
    <w:p w:rsidR="00E65FF5" w:rsidRPr="00E65FF5" w:rsidRDefault="00E65FF5" w:rsidP="00E65FF5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McGee, R., &amp; Williams, S. (2000). Does low self-esteem predict health compromising behaviors among adolescents?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Journal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of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Adolescence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23, 569 –582.</w:t>
      </w:r>
    </w:p>
    <w:p w:rsidR="00E65FF5" w:rsidRPr="00E65FF5" w:rsidRDefault="00E65FF5" w:rsidP="00E65FF5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Mann J.J., Brent D.A.,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Arango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V. The neurobiology and genetics of suicide and attempted suicide: a focus on the serotonergic system // </w:t>
      </w: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Neuropsychopharmacology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2001. 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24. Р. 467–477.</w:t>
      </w:r>
    </w:p>
    <w:p w:rsidR="00E65FF5" w:rsidRPr="00E65FF5" w:rsidRDefault="00E65FF5" w:rsidP="00E65FF5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Moeller F.G., Barratt E.S., Dougherty D.M., Schmitz J.M., Swann A.C. Psychiatric aspects of impulsivity // American Journal of Psychiatry, 2001. 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158. Р. 1783–1793.</w:t>
      </w:r>
    </w:p>
    <w:p w:rsidR="00E65FF5" w:rsidRPr="00E65FF5" w:rsidRDefault="00E65FF5" w:rsidP="00E65FF5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Patton J.H., Stanford M.S., Barratt E.S. Factor structure of the Barratt Impulsiveness Scale // Journal of Clinical Psychology, 1995. </w:t>
      </w: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51. Р. 768–774.</w:t>
      </w:r>
    </w:p>
    <w:p w:rsidR="00E65FF5" w:rsidRPr="00E65FF5" w:rsidRDefault="00E65FF5" w:rsidP="00E65FF5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Выготский Л.С. Мышление и речь. М., 1934.</w:t>
      </w:r>
    </w:p>
    <w:p w:rsidR="00E65FF5" w:rsidRPr="00E65FF5" w:rsidRDefault="00E65FF5" w:rsidP="00E65FF5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Выготский Л.С. Лекции по педологии. Ижевск, 2001.</w:t>
      </w:r>
    </w:p>
    <w:p w:rsidR="00E65FF5" w:rsidRPr="00E65FF5" w:rsidRDefault="00E65FF5" w:rsidP="00E65FF5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Лурия</w:t>
      </w:r>
      <w:proofErr w:type="spellEnd"/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А.Р. Этапы пройденного пути. М., 2001.</w:t>
      </w:r>
    </w:p>
    <w:p w:rsidR="00E65FF5" w:rsidRPr="00E65FF5" w:rsidRDefault="00E65FF5" w:rsidP="00E65FF5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Пономарев И.В. Возрастная социализация в традиционном обществе. М., 2009.</w:t>
      </w:r>
    </w:p>
    <w:p w:rsidR="00606F7C" w:rsidRPr="001B25A4" w:rsidRDefault="00606F7C">
      <w:pPr>
        <w:rPr>
          <w:rFonts w:ascii="Times New Roman" w:hAnsi="Times New Roman" w:cs="Times New Roman"/>
          <w:sz w:val="28"/>
          <w:szCs w:val="28"/>
        </w:rPr>
      </w:pPr>
    </w:p>
    <w:sectPr w:rsidR="00606F7C" w:rsidRPr="001B2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C0BF8"/>
    <w:multiLevelType w:val="multilevel"/>
    <w:tmpl w:val="BE008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F5"/>
    <w:rsid w:val="001B25A4"/>
    <w:rsid w:val="00606F7C"/>
    <w:rsid w:val="00C215DA"/>
    <w:rsid w:val="00CC3DD4"/>
    <w:rsid w:val="00D26112"/>
    <w:rsid w:val="00E6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5F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5F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E65FF5"/>
    <w:rPr>
      <w:i/>
      <w:iCs/>
    </w:rPr>
  </w:style>
  <w:style w:type="character" w:styleId="a4">
    <w:name w:val="Strong"/>
    <w:basedOn w:val="a0"/>
    <w:uiPriority w:val="22"/>
    <w:qFormat/>
    <w:rsid w:val="00E65F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5F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5F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E65FF5"/>
    <w:rPr>
      <w:i/>
      <w:iCs/>
    </w:rPr>
  </w:style>
  <w:style w:type="character" w:styleId="a4">
    <w:name w:val="Strong"/>
    <w:basedOn w:val="a0"/>
    <w:uiPriority w:val="22"/>
    <w:qFormat/>
    <w:rsid w:val="00E6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3699</Words>
  <Characters>21090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Батрова Юлия</dc:creator>
  <cp:lastModifiedBy>Батрова Юлия</cp:lastModifiedBy>
  <cp:revision>2</cp:revision>
  <dcterms:created xsi:type="dcterms:W3CDTF">2019-05-20T06:17:00Z</dcterms:created>
  <dcterms:modified xsi:type="dcterms:W3CDTF">2019-05-20T06:19:00Z</dcterms:modified>
</cp:coreProperties>
</file>